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88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 w14:paraId="2FA74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2025年度全国教育科学规划学科建设与研究生培养研究专项指南</w:t>
      </w:r>
    </w:p>
    <w:p w14:paraId="71AFEB0E">
      <w:pPr>
        <w:pStyle w:val="6"/>
        <w:widowControl/>
        <w:spacing w:before="0" w:beforeAutospacing="1" w:after="0" w:afterAutospacing="1"/>
        <w:ind w:left="0" w:right="0" w:firstLine="640" w:firstLineChars="200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79D8CBC5">
      <w:pPr>
        <w:pStyle w:val="6"/>
        <w:widowControl/>
        <w:spacing w:before="0" w:beforeAutospacing="1" w:after="0" w:afterAutospacing="1"/>
        <w:ind w:left="0" w:right="0"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" w:bidi="ar-SA"/>
        </w:rPr>
        <w:t>学科建设与研究生培养研究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专项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包括重点和一般项目。</w:t>
      </w:r>
    </w:p>
    <w:p w14:paraId="7681C75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left"/>
        <w:textAlignment w:val="auto"/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一、申报条件</w:t>
      </w:r>
    </w:p>
    <w:p w14:paraId="06EA352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left"/>
        <w:textAlignment w:val="auto"/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（一）项目申请人须具备下列条件</w:t>
      </w:r>
    </w:p>
    <w:p w14:paraId="740FB90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1.申请人须遵守中华人民共和国宪法和法律，坚持正确的政治方向、价值取向和研究导向，遵守全国教育科学规划有关管理规定。</w:t>
      </w:r>
    </w:p>
    <w:p w14:paraId="3C8E6A53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2.专项主要面向高等院校，部委直属单位，省级以上研究机构、党校（行政学院）等机构的研究人员申报。</w:t>
      </w:r>
    </w:p>
    <w:p w14:paraId="256BFCE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3.重点和一般项目申请人均须具有副高级以上（含）专业技术职称，或者具有博士学位。</w:t>
      </w:r>
    </w:p>
    <w:p w14:paraId="2AAB6821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4.在研的国家社会科学基金、国家自然科学基金、全国教育科学规划、教育部人文社会科学研究项目及其他国家级科研项目（以上统称国家和教育部级基金项目）负责人不得申请专项。同年度申请上述国家和教育部级基金项目的负责人不得申请专项。同年度申请全国教育科学规划项目的成员不得申请专项。</w:t>
      </w:r>
    </w:p>
    <w:p w14:paraId="6677FC3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5.凡以博士学位论文或博士后出站报告为基础申报本次研究生专项，须在《全国教育科学规划项目申请书》（以下简称《申请书》）中，注明所申请项目与学位论文（出站报告）的联系和区别。申请鉴定结项时须提交学位论文（出站报告）原件。不得以已出版的内容基本相同的研究成果申请研究生专项。</w:t>
      </w:r>
    </w:p>
    <w:p w14:paraId="102F2C8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left"/>
        <w:textAlignment w:val="auto"/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（二）项目申请人所在单位须具备下列条件</w:t>
      </w:r>
    </w:p>
    <w:p w14:paraId="5142BF0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1.在相关领域具有较强的师资队伍、科研力量和扎实的学术积累，或丰富的实践经验。</w:t>
      </w:r>
    </w:p>
    <w:p w14:paraId="406B02BD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2.设有专门负责科研管理工作的职能部门。</w:t>
      </w:r>
    </w:p>
    <w:p w14:paraId="121D8CB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3.能够为开展研究工作提供必要条件，并承诺信誉保证。</w:t>
      </w:r>
    </w:p>
    <w:p w14:paraId="1D472E1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3" w:firstLineChars="200"/>
        <w:jc w:val="left"/>
        <w:textAlignment w:val="auto"/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二、申报要求</w:t>
      </w:r>
    </w:p>
    <w:p w14:paraId="624BD6A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1.专项申报不限额。各二级管理机构和申请单位要着力提高申报质量，宁缺毋滥。</w:t>
      </w:r>
    </w:p>
    <w:p w14:paraId="421C216D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.专项研究年限为1-3年，不得延期。1年期的一般项目，要求至少1篇决策咨询报告被《全国教育科学规划课题成果要报》刊发、或被专项合作单位及以上领导肯定性批示、或被专项合作单位及以上党政机关的内刊刊发；1年以上的一般项目，除上述要求外，同时至少发表1篇核心期刊（或SCI、SSCI、CSSCI、A&amp;HCI）论文。重点项目的成果要求须高于一般项目，成果形式、数量和级别与资助金额和研究年限相匹配。</w:t>
      </w:r>
    </w:p>
    <w:p w14:paraId="67D1655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3.申请人应按照《全国教育科学规划课题管理办法》和《全国教育科学规划课题资金管理办法》（详见我办网站https://onsgep.moe.edu.cn/）的要求，根据实际需要编制科学合理的经费预算。</w:t>
      </w:r>
    </w:p>
    <w:p w14:paraId="402B6C4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4.申报人须严格按照《申请书》和《活页》要求，如实填写材料，保证没有知识产权争议，不得有违背科研诚信要求的行为。凡存在弄虚作假、抄袭剽窃等行为的，一经发现查实，取消五年申报资格。如获立项即予撤项并通报批评，列入不良科研信用记录，并责成所在单位按有关规定处理。</w:t>
      </w:r>
    </w:p>
    <w:p w14:paraId="7D8884B3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5.项目负责人在项目执行期间要遵守相关承诺，履行约定义务，按期完成研究任务，申报时承诺的预期研究成果为项目结项时必须达到的要件，不得擅自变更。获准立项的《申请书》视为具有约束力的资助合同文本。最终成果实行通讯鉴定，鉴定等级予以公布。</w:t>
      </w:r>
    </w:p>
    <w:p w14:paraId="6634EF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3" w:firstLineChars="200"/>
        <w:jc w:val="left"/>
        <w:textAlignment w:val="auto"/>
        <w:rPr>
          <w:rFonts w:hint="default" w:ascii="仿宋_GB2312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选题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指南</w:t>
      </w:r>
    </w:p>
    <w:p w14:paraId="26F76C8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申报专项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" w:bidi="ar-SA"/>
        </w:rPr>
        <w:t>须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从指南中选题，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并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" w:bidi="ar-SA"/>
        </w:rPr>
        <w:t>按照指南意图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研究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设计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" w:bidi="ar-SA"/>
        </w:rPr>
        <w:t>。如确有需要，可对指南意图进行适当微调，但不得大幅压缩或改变研究内容。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自拟选题不予受理。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研究期限为1-3年，不得延期。</w:t>
      </w: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每个选题原则上只确立1个立项项目。</w:t>
      </w:r>
      <w:bookmarkStart w:id="0" w:name="_GoBack"/>
      <w:bookmarkEnd w:id="0"/>
    </w:p>
    <w:p w14:paraId="56216C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1.基于常态化监测的“双一流”建设成效评价研究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（重点）</w:t>
      </w:r>
    </w:p>
    <w:p w14:paraId="52BF3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（1）阐释“双一流”建设成效评价的基本内涵与理论基础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“双一流”建设质量监测指标体系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和成效评价的算法、模型；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提出“双一流”建设成效评价的政策建议。</w:t>
      </w:r>
    </w:p>
    <w:p w14:paraId="1CE79A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2.促进学科交叉融合的制度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和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机制研究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（重点）</w:t>
      </w:r>
    </w:p>
    <w:p w14:paraId="7FADE6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（1）分析主要发达国家促进学科交叉融合的制度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机制及相关经验；（2）分析学科交叉现状及主要影响因素；（3）提出学科交叉融合制度机制改革的政策建议。</w:t>
      </w:r>
    </w:p>
    <w:p w14:paraId="090070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3.快速响应行业需求的专业学位设置和调整机制研究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（重点）</w:t>
      </w:r>
    </w:p>
    <w:p w14:paraId="2B5D1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（1）分析当前专业学位设置与社会产业结构匹配现状及存在问题；（2）研究主要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发达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国家专业学位设置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调整与行业产业对接机制经验；（3）提出快速响应行业产业需求的专业学位设置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调整策略与政策建议。</w:t>
      </w:r>
    </w:p>
    <w:p w14:paraId="68F63E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.面向2035的学科专业结构规划研究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48427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2035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，根据国家经济社会和科技发展需要，研判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研究生教育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学科专业结构变化趋势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研究主要发达国家学科专业结构调整优化机制；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形成分学科、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省市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功能区等的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学科专业结构与布局建议方案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提出2025-2035年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授权点增列和招生规模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合理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增长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实施路径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40CD2F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.人工智能时代研究生教育模式与组织形态研究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3C78FA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人工智能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研究生教育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的影响；（2）研究主要发达国家研究生教育应对人工智能发展的变革策略；（3）提出人工智能时代研究生教育培养模式、数字化治理等方面的创新模式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1ED114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.民族复兴背景下研究生教育发展战略研究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43606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（1）分析主要发达国家研究生教育全球引领力的主要特征；（2）研究提升我国研究生教育全球引领力和贡献力的策略；（3）提出我国研究生教育在全球资源统筹利用、规模结构布局优化等方面的战略举措。</w:t>
      </w:r>
    </w:p>
    <w:p w14:paraId="25D335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.人工智能时代学科创新发展研究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50CDB2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60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人工智能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对学科创新发展的影响；（2）研判未来高校自主设置二级学科和交叉学科的趋势；（3）研究人工智能赋能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学科创新发展的路径方法；（4）提出科学的高校自主设置学科和交叉学科的政策建议。</w:t>
      </w:r>
    </w:p>
    <w:p w14:paraId="435F18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.研究生和谐导学关系构建路径研究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24670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（1）开展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案例、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访谈、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问卷调查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研究，分析当前导学矛盾的主要表现形式和成因；（2）阐述和谐导学关系的基本内涵和核心要素；（3）提出构建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和谐导学关系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路径、方法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与举措。</w:t>
      </w:r>
    </w:p>
    <w:p w14:paraId="4A1B73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.学科专业与产业经济结构的适配度研究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18D71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（1）分析学科专业与产业经济结构适配现状；（2）研究主要发达国家学科专业与产业经济结构的适配方式；（3）提出满足产业经济发展的学科专业设置动态调整的优化建议。</w:t>
      </w:r>
    </w:p>
    <w:p w14:paraId="30B73E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.促进学科交叉融合的评价体系研究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3048A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（1）分析学科交叉融合现状；（2）比较研究国外学科交叉融合模式及相关评价方法；（3）研究提出学科交叉融合评价的基本内涵、评价要素和方法体系。</w:t>
      </w:r>
    </w:p>
    <w:p w14:paraId="24A507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11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.基于学科画像的学科评价研究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0477F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（1）构建学科画像与评价理论框架和实践路径；（2）研究提出学科画像多维度评价指标；（3）构建基于学科画像的智能评价算法模型；（4）形成“双一流”学科画像分析研究报告。</w:t>
      </w:r>
    </w:p>
    <w:p w14:paraId="433791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12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.数智赋能的论文创新性评价技术研究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4B4E7D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（1）研究论文创新性评价的基本要素和框架；（2）基于数智赋能的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学术论文创新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评价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方法体系，开展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学科、大学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区域等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原始创新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能力评价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研究；（3）提出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学位论文智能评审的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算法模型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 w14:paraId="7FFCBE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.来华留学研究生培养现状与质量提升策略研究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3FC6A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（1）分析来华留学研究生的学科和学校分布、来源国家、来华读研动机、未来就业意愿等典型特征；（2）提出提升来华留学研究生教育质量的策略与政策建议。</w:t>
      </w:r>
    </w:p>
    <w:p w14:paraId="366B1C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.新时代研究生党建创新实践范式研究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5E685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（1）分析研究生党建工作现状；（2）研究研究生党建“双百”培育典型案例；（3）提出研究生党建创新实践范式指南。</w:t>
      </w:r>
    </w:p>
    <w:p w14:paraId="79E777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.工程专业学位研究生实践成果评价方法研究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4F09E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（1）以国家卓越工程师学院为主要研究对象，分析工程硕博士实践成果的主要特征；（2）提出工程硕博士实践成果的评价要素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提出实践创新成果评价的方法体系。</w:t>
      </w:r>
    </w:p>
    <w:p w14:paraId="72D595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.研究生教育产教融合评价体系研究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7A80A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（1）分析研究生教育产教融合培养现状；（2）研究主要发达国家产教融合的主要模式经验；（3）研究产教融合能力评价要素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提出产教融合能力评价的方法体系；（5）以国家卓越工程师学院为样本开展评价试测。</w:t>
      </w:r>
    </w:p>
    <w:p w14:paraId="3854E3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.省域研究生教育学科专业结构现状与优化策略研究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36937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（1）阐释省域学科专业规模结构与经济社会适配度分析方法；（2）构建省域学科专业规模结构与经济社会适配模型，并测算适配度指数；（3）提出适应经济社会发展的学科专业结构优化政策建议。</w:t>
      </w:r>
    </w:p>
    <w:p w14:paraId="63AE0E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Chars="0" w:firstLine="640" w:firstLineChars="200"/>
        <w:jc w:val="left"/>
        <w:textAlignment w:val="auto"/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</w:pP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.专业学位人才培养质量标准及评价方法研究</w:t>
      </w:r>
      <w:r>
        <w:rPr>
          <w:rFonts w:hint="eastAsia" w:ascii="华文中宋" w:hAnsi="华文中宋" w:eastAsia="华文中宋" w:cs="华文中宋"/>
          <w:kern w:val="2"/>
          <w:sz w:val="32"/>
          <w:szCs w:val="32"/>
          <w:lang w:val="en-US" w:eastAsia="zh-CN" w:bidi="ar-SA"/>
        </w:rPr>
        <w:t>（一般）</w:t>
      </w:r>
    </w:p>
    <w:p w14:paraId="05C26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left"/>
        <w:textAlignment w:val="auto"/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指南意图：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（1）分析主要发达国家专业学位人才培养质量评价方法的主要经验做法；（2）研究区别于学术学位的专业学位人才培养质量标准及独特内涵；（3）研究专业学位人才培养质量标准内涵及评价方法体系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296B6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5F859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5F859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iODY1MGU5YzE1YTNlOTVlY2I1YjhlYWU4Y2E1ZmUifQ=="/>
  </w:docVars>
  <w:rsids>
    <w:rsidRoot w:val="14CD37D2"/>
    <w:rsid w:val="1005731A"/>
    <w:rsid w:val="10C95A18"/>
    <w:rsid w:val="11F30AC4"/>
    <w:rsid w:val="14CD37D2"/>
    <w:rsid w:val="1A10120A"/>
    <w:rsid w:val="1CC7757C"/>
    <w:rsid w:val="1CF635CF"/>
    <w:rsid w:val="20340A84"/>
    <w:rsid w:val="21A73EC0"/>
    <w:rsid w:val="22B17B9A"/>
    <w:rsid w:val="233E7B99"/>
    <w:rsid w:val="246F652F"/>
    <w:rsid w:val="25B75BC0"/>
    <w:rsid w:val="26004D02"/>
    <w:rsid w:val="29D137E8"/>
    <w:rsid w:val="2D35408E"/>
    <w:rsid w:val="2DAE4DEB"/>
    <w:rsid w:val="347E1790"/>
    <w:rsid w:val="37F30DCD"/>
    <w:rsid w:val="38764A10"/>
    <w:rsid w:val="3C6D60F9"/>
    <w:rsid w:val="43033B70"/>
    <w:rsid w:val="4A661642"/>
    <w:rsid w:val="4C1B2975"/>
    <w:rsid w:val="4EAE25B7"/>
    <w:rsid w:val="4FB1289F"/>
    <w:rsid w:val="4FEB4D54"/>
    <w:rsid w:val="50E46C80"/>
    <w:rsid w:val="543C792C"/>
    <w:rsid w:val="56C85F90"/>
    <w:rsid w:val="5BD631CB"/>
    <w:rsid w:val="5D7F1F99"/>
    <w:rsid w:val="63ED29F1"/>
    <w:rsid w:val="645647B9"/>
    <w:rsid w:val="702A7FA2"/>
    <w:rsid w:val="705B6F34"/>
    <w:rsid w:val="709F32C5"/>
    <w:rsid w:val="77DE46D3"/>
    <w:rsid w:val="77FD2395"/>
    <w:rsid w:val="78237DB4"/>
    <w:rsid w:val="7C9F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